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rPr>
          <w:rFonts w:ascii="EB Garamond" w:hAnsi="EB Garamond"/>
          <w:b/>
          <w:color w:val="2D2926"/>
          <w:sz w:val="46"/>
        </w:rPr>
        <w:t>Kostenrahmen und Zahlungsregelung</w:t>
      </w:r>
    </w:p>
    <w:p>
      <w:pPr>
        <w:spacing w:after="140"/>
      </w:pPr>
      <w:r>
        <w:rPr>
          <w:rFonts w:ascii="Noto Sans" w:hAnsi="Noto Sans"/>
          <w:color w:val="66615D"/>
          <w:sz w:val="20"/>
        </w:rPr>
        <w:t>Orientierung für Tierarzt, Betreuung und Tierbestattung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482"/>
      </w:tblGrid>
      <w:tr>
        <w:tc>
          <w:tcPr>
            <w:tcW w:type="dxa" w:w="10482"/>
            <w:shd w:fill="FBF8F2"/>
            <w:tcBorders>
              <w:top w:val="single" w:sz="8" w:color="C89A40"/>
              <w:left w:val="single" w:sz="8" w:color="C89A40"/>
              <w:bottom w:val="single" w:sz="8" w:color="C89A40"/>
              <w:right w:val="single" w:sz="8" w:color="C89A40"/>
            </w:tcBorders>
            <w:tcMar>
              <w:top w:w="90" w:type="dxa"/>
              <w:start w:w="130" w:type="dxa"/>
              <w:bottom w:w="90" w:type="dxa"/>
              <w:end w:w="130" w:type="dxa"/>
            </w:tcMar>
          </w:tcPr>
          <w:p>
            <w:r>
              <w:rPr>
                <w:rFonts w:ascii="Noto Sans" w:hAnsi="Noto Sans"/>
                <w:b/>
                <w:color w:val="C89A40"/>
                <w:sz w:val="17"/>
              </w:rPr>
              <w:t xml:space="preserve">HINWEIS: </w:t>
            </w:r>
            <w:r>
              <w:rPr>
                <w:rFonts w:ascii="Noto Sans" w:hAnsi="Noto Sans"/>
                <w:color w:val="2D2926"/>
                <w:sz w:val="17"/>
              </w:rPr>
              <w:t>Tragen Sie realistische Beträge ein und besprechen Sie die Zahlungswege mit der bevollmächtigten Person. Bankdaten, PINs und Passwörter gehören nicht offen in dieses Dokument.</w:t>
            </w:r>
          </w:p>
        </w:tc>
      </w:tr>
    </w:tbl>
    <w:p>
      <w:pPr>
        <w:spacing w:after="0"/>
      </w:pPr>
    </w:p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1. Tierärztliche Behandlung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241"/>
        <w:gridCol w:w="5241"/>
      </w:tblGrid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Je Einzelbehandlung ohne Rücksprache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  <w:t>________________ Euro</w:t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Gesamtrahmen während eines Notfalls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  <w:t>________________ Euro</w:t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Maximalbetrag für Operation / stationäre Aufnahme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  <w:t>________________ Euro</w:t>
            </w:r>
          </w:p>
        </w:tc>
      </w:tr>
    </w:tbl>
    <w:p>
      <w:pPr>
        <w:spacing w:after="30"/>
        <w:ind w:left="57"/>
      </w:pPr>
      <w:r>
        <w:rPr>
          <w:rFonts w:ascii="Noto Sans" w:hAnsi="Noto Sans"/>
          <w:color w:val="2D2926"/>
          <w:sz w:val="18"/>
        </w:rPr>
        <w:t>☐ Der Betrag darf bei akuter Lebensgefahr überschritten werden, wenn eine realistische Behandlungsmöglichkeit besteht.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8"/>
        </w:rPr>
        <w:t>☐ Vor einer Überschreitung muss eine weitere Person kontaktiert werden.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8"/>
        </w:rPr>
        <w:t>☐ Operationen sollen nur bei realistischer Aussicht auf eine gute Lebensqualität erfolgen.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241"/>
        <w:gridCol w:w="5241"/>
      </w:tblGrid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Weitere Kontaktperson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Telefon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</w:tbl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2. Betreuung und Unterbringung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241"/>
        <w:gridCol w:w="5241"/>
      </w:tblGrid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Maximaler Tagessatz für Tierpension / Betreuung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  <w:t>________________ Euro</w:t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Maximale vorläufige Dauer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  <w:t>________________ Tage</w:t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Kostenrahmen für Transport und Abholung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  <w:t>________________ Euro</w:t>
            </w:r>
          </w:p>
        </w:tc>
      </w:tr>
    </w:tbl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3. Tierbestattung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241"/>
        <w:gridCol w:w="5241"/>
      </w:tblGrid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Gesamtrahmen für die Tierbestattung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  <w:t>________________ Euro</w:t>
            </w:r>
          </w:p>
        </w:tc>
      </w:tr>
    </w:tbl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5241"/>
        <w:gridCol w:w="5241"/>
      </w:tblGrid>
      <w:tr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Abholung</w:t>
            </w:r>
          </w:p>
        </w:tc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Überführung</w:t>
            </w:r>
          </w:p>
        </w:tc>
      </w:tr>
      <w:tr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Kremierung</w:t>
            </w:r>
          </w:p>
        </w:tc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Kremierungsurkunde</w:t>
            </w:r>
          </w:p>
        </w:tc>
      </w:tr>
      <w:tr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Übergangsurne</w:t>
            </w:r>
          </w:p>
        </w:tc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Rückführung</w:t>
            </w:r>
          </w:p>
        </w:tc>
      </w:tr>
      <w:tr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Pfotenabdruck</w:t>
            </w:r>
          </w:p>
        </w:tc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Fellsträhne / Feder / Mähnenhaar</w:t>
            </w:r>
          </w:p>
        </w:tc>
      </w:tr>
    </w:tbl>
    <w:p>
      <w:pPr>
        <w:spacing w:after="20"/>
      </w:pPr>
      <w:r>
        <w:rPr>
          <w:rFonts w:ascii="Noto Sans" w:hAnsi="Noto Sans"/>
          <w:b/>
          <w:color w:val="2D2926"/>
          <w:sz w:val="18"/>
        </w:rPr>
        <w:t>Weitere gewünschte Leistung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r>
        <w:br w:type="page"/>
      </w:r>
    </w:p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4. Zahlungsquelle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8"/>
        </w:rPr>
        <w:t>☐ Bevollmächtigte Person mit späterer Erstattung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8"/>
        </w:rPr>
        <w:t>☐ Benannte Vertrauensperson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8"/>
        </w:rPr>
        <w:t>☐ Vorhandene Versicherung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8"/>
        </w:rPr>
        <w:t>☐ Bargeldreserve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8"/>
        </w:rPr>
        <w:t>☐ Gesonderte Vorsorgelösung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8"/>
        </w:rPr>
        <w:t>☐ Andere Regelung</w:t>
      </w:r>
    </w:p>
    <w:p>
      <w:pPr>
        <w:spacing w:after="20"/>
      </w:pPr>
      <w:r>
        <w:rPr>
          <w:rFonts w:ascii="Noto Sans" w:hAnsi="Noto Sans"/>
          <w:b/>
          <w:color w:val="2D2926"/>
          <w:sz w:val="18"/>
        </w:rPr>
        <w:t>Andere Regelung / ergänzende Hinweise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5. Erstattung und Unterlagen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241"/>
        <w:gridCol w:w="5241"/>
      </w:tblGrid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Verantwortliche Person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Telefon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Aufbewahrungsort der Zahlungs- / Vertragsunterlagen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</w:tbl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482"/>
      </w:tblGrid>
      <w:tr>
        <w:tc>
          <w:tcPr>
            <w:tcW w:type="dxa" w:w="10482"/>
            <w:shd w:fill="FBF8F2"/>
            <w:tcBorders>
              <w:top w:val="single" w:sz="8" w:color="C89A40"/>
              <w:left w:val="single" w:sz="8" w:color="C89A40"/>
              <w:bottom w:val="single" w:sz="8" w:color="C89A40"/>
              <w:right w:val="single" w:sz="8" w:color="C89A40"/>
            </w:tcBorders>
            <w:tcMar>
              <w:top w:w="90" w:type="dxa"/>
              <w:start w:w="130" w:type="dxa"/>
              <w:bottom w:w="90" w:type="dxa"/>
              <w:end w:w="130" w:type="dxa"/>
            </w:tcMar>
          </w:tcPr>
          <w:p>
            <w:r>
              <w:rPr>
                <w:rFonts w:ascii="Noto Sans" w:hAnsi="Noto Sans"/>
                <w:b/>
                <w:color w:val="C89A40"/>
                <w:sz w:val="17"/>
              </w:rPr>
              <w:t xml:space="preserve">RECHTLICHER HINWEIS: </w:t>
            </w:r>
            <w:r>
              <w:rPr>
                <w:rFonts w:ascii="Noto Sans" w:hAnsi="Noto Sans"/>
                <w:color w:val="2D2926"/>
                <w:sz w:val="17"/>
              </w:rPr>
              <w:t>Kontovollmachten, Verfügungen über Vermögen und Regelungen für den Todesfall sollten rechtlich belastbar und getrennt von dieser Kostenübersicht gestaltet werden.</w:t>
            </w:r>
          </w:p>
        </w:tc>
      </w:tr>
    </w:tbl>
    <w:p>
      <w:pPr>
        <w:spacing w:after="0"/>
      </w:pPr>
    </w:p>
    <w:p>
      <w:pPr>
        <w:pStyle w:val="Heading2"/>
        <w:keepNext w:val="1"/>
      </w:pPr>
      <w:r>
        <w:rPr>
          <w:rFonts w:ascii="EB Garamond" w:hAnsi="EB Garamond"/>
          <w:b/>
          <w:color w:val="2D2926"/>
          <w:sz w:val="25"/>
        </w:rPr>
        <w:t>Ort, Datum und Unterschrift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5241"/>
        <w:gridCol w:w="5241"/>
      </w:tblGrid>
      <w:tr>
        <w:tc>
          <w:tcPr>
            <w:tcW w:type="dxa" w:w="5241"/>
            <w:tcMar>
              <w:top w:w="180" w:type="dxa"/>
              <w:start w:w="80" w:type="dxa"/>
              <w:bottom w:w="60" w:type="dxa"/>
              <w:end w:w="80" w:type="dxa"/>
            </w:tcMar>
            <w:tcBorders>
              <w:bottom w:val="single" w:sz="6" w:color="66615D"/>
            </w:tcBorders>
          </w:tcPr>
          <w:p>
            <w:r>
              <w:rPr>
                <w:rFonts w:ascii="Noto Sans" w:hAnsi="Noto Sans"/>
                <w:color w:val="66615D"/>
                <w:sz w:val="16"/>
              </w:rPr>
              <w:t>Ort und Datum</w:t>
            </w:r>
          </w:p>
        </w:tc>
        <w:tc>
          <w:tcPr>
            <w:tcW w:type="dxa" w:w="5241"/>
            <w:tcMar>
              <w:top w:w="180" w:type="dxa"/>
              <w:start w:w="80" w:type="dxa"/>
              <w:bottom w:w="60" w:type="dxa"/>
              <w:end w:w="80" w:type="dxa"/>
            </w:tcMar>
            <w:tcBorders>
              <w:bottom w:val="single" w:sz="6" w:color="66615D"/>
            </w:tcBorders>
          </w:tcPr>
          <w:p>
            <w:r>
              <w:rPr>
                <w:rFonts w:ascii="Noto Sans" w:hAnsi="Noto Sans"/>
                <w:color w:val="66615D"/>
                <w:sz w:val="16"/>
              </w:rPr>
              <w:t>Unterschrift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822" w:right="879" w:bottom="765" w:left="879" w:header="312" w:footer="31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  <w:tbl>
    <w:tblPr>
      <w:tblW w:type="auto" w:w="0"/>
      <w:jc w:val="center"/>
      <w:tblLayout w:type="fixed"/>
      <w:tblLook w:firstColumn="1" w:firstRow="1" w:lastColumn="0" w:lastRow="0" w:noHBand="0" w:noVBand="1" w:val="04A0"/>
    </w:tblPr>
    <w:tblGrid>
      <w:gridCol w:w="5241"/>
      <w:gridCol w:w="5241"/>
    </w:tblGrid>
    <w:tr>
      <w:tc>
        <w:tcPr>
          <w:tcW w:type="dxa" w:w="5241"/>
          <w:tcBorders>
            <w:top w:val="single" w:sz="4" w:color="E8E5E1"/>
          </w:tcBorders>
          <w:tcMar>
            <w:top w:w="40" w:type="dxa"/>
            <w:start w:w="100" w:type="dxa"/>
            <w:bottom w:w="20" w:type="dxa"/>
            <w:end w:w="100" w:type="dxa"/>
          </w:tcMar>
        </w:tcPr>
        <w:p>
          <w:r>
            <w:rPr>
              <w:rFonts w:ascii="Noto Sans" w:hAnsi="Noto Sans"/>
              <w:color w:val="66615D"/>
              <w:sz w:val="15"/>
            </w:rPr>
            <w:t>inanimo.de  |  Private Nutzung  |  Stand Juni 2026</w:t>
          </w:r>
        </w:p>
      </w:tc>
      <w:tc>
        <w:tcPr>
          <w:tcW w:type="dxa" w:w="5241"/>
          <w:tcBorders>
            <w:top w:val="single" w:sz="4" w:color="E8E5E1"/>
          </w:tcBorders>
          <w:tcMar>
            <w:top w:w="40" w:type="dxa"/>
            <w:start w:w="100" w:type="dxa"/>
            <w:bottom w:w="20" w:type="dxa"/>
            <w:end w:w="100" w:type="dxa"/>
          </w:tcMar>
        </w:tcPr>
        <w:p>
          <w:pPr>
            <w:jc w:val="right"/>
          </w:pPr>
          <w:r>
            <w:rPr>
              <w:rFonts w:ascii="Noto Sans" w:hAnsi="Noto Sans"/>
              <w:color w:val="66615D"/>
              <w:sz w:val="16"/>
            </w:rPr>
            <w:t xml:space="preserve">Seite </w:t>
            <w:fldChar w:fldCharType="begin"/>
            <w:instrText xml:space="preserve">PAGE</w:instrText>
            <w:fldChar w:fldCharType="end"/>
          </w:r>
        </w:p>
      </w:tc>
    </w:tr>
  </w:tbl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  <w:pBdr>
        <w:bottom w:val="single" w:sz="10" w:space="2" w:color="C89A40"/>
      </w:pBdr>
    </w:pPr>
    <w:r>
      <w:rPr>
        <w:rFonts w:ascii="EB Garamond" w:hAnsi="EB Garamond"/>
        <w:b/>
        <w:color w:val="C89A40"/>
        <w:sz w:val="36"/>
      </w:rPr>
      <w:t>inanimo</w:t>
    </w:r>
    <w:r>
      <w:rPr>
        <w:rFonts w:ascii="Noto Sans" w:hAnsi="Noto Sans"/>
        <w:b/>
        <w:color w:val="2D2926"/>
        <w:sz w:val="15"/>
      </w:rPr>
      <w:t xml:space="preserve">  TIERBESTATTUNG HALTERN</w:t>
    </w:r>
    <w:r>
      <w:rPr>
        <w:rFonts w:ascii="Noto Sans" w:hAnsi="Noto Sans"/>
        <w:i/>
        <w:color w:val="66615D"/>
        <w:sz w:val="14"/>
      </w:rPr>
      <w:t xml:space="preserve">   by DIVINE Celebration of Life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70" w:line="254" w:lineRule="auto"/>
    </w:pPr>
    <w:rPr>
      <w:rFonts w:ascii="Noto Sans" w:hAnsi="Noto Sans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40" w:after="60"/>
      <w:outlineLvl w:val="0"/>
    </w:pPr>
    <w:rPr>
      <w:rFonts w:asciiTheme="majorHAnsi" w:eastAsiaTheme="majorEastAsia" w:hAnsiTheme="majorHAnsi" w:cstheme="majorBidi" w:ascii="EB Garamond" w:hAnsi="EB Garamond"/>
      <w:b/>
      <w:bCs/>
      <w:color w:val="2D2926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40" w:after="60"/>
      <w:outlineLvl w:val="1"/>
    </w:pPr>
    <w:rPr>
      <w:rFonts w:asciiTheme="majorHAnsi" w:eastAsiaTheme="majorEastAsia" w:hAnsiTheme="majorHAnsi" w:cstheme="majorBidi" w:ascii="EB Garamond" w:hAnsi="EB Garamond"/>
      <w:b/>
      <w:bCs/>
      <w:color w:val="2D2926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40" w:after="60"/>
      <w:outlineLvl w:val="2"/>
    </w:pPr>
    <w:rPr>
      <w:rFonts w:asciiTheme="majorHAnsi" w:eastAsiaTheme="majorEastAsia" w:hAnsiTheme="majorHAnsi" w:cstheme="majorBidi" w:ascii="EB Garamond" w:hAnsi="EB Garamond"/>
      <w:b/>
      <w:bCs/>
      <w:color w:val="C89A40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60" w:line="240" w:lineRule="auto" w:before="140"/>
      <w:contextualSpacing/>
    </w:pPr>
    <w:rPr>
      <w:rFonts w:asciiTheme="majorHAnsi" w:eastAsiaTheme="majorEastAsia" w:hAnsiTheme="majorHAnsi" w:cstheme="majorBidi" w:ascii="EB Garamond" w:hAnsi="EB Garamond"/>
      <w:b/>
      <w:color w:val="2D2926"/>
      <w:spacing w:val="5"/>
      <w:kern w:val="28"/>
      <w:sz w:val="4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inanimoSmall">
    <w:name w:val="inanimo Small"/>
    <w:pPr>
      <w:spacing w:after="40"/>
    </w:pPr>
    <w:rPr>
      <w:rFonts w:ascii="Noto Sans" w:hAnsi="Noto Sans"/>
      <w:color w:val="66615D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